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3614F9" w14:paraId="189932D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6850A9C" w14:textId="77777777" w:rsidR="003614F9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8F4F649" w14:textId="77777777" w:rsidR="003614F9" w:rsidRDefault="00000000">
            <w:pPr>
              <w:spacing w:after="0" w:line="240" w:lineRule="auto"/>
            </w:pPr>
            <w:r>
              <w:t>36469</w:t>
            </w:r>
          </w:p>
        </w:tc>
      </w:tr>
      <w:tr w:rsidR="003614F9" w14:paraId="5A42C1C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84090FD" w14:textId="77777777" w:rsidR="003614F9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700711CC" w14:textId="77777777" w:rsidR="003614F9" w:rsidRDefault="00000000">
            <w:pPr>
              <w:spacing w:after="0" w:line="240" w:lineRule="auto"/>
            </w:pPr>
            <w:r>
              <w:t>GRADSKA KNJIŽNICA I ČITAONICA ILOK</w:t>
            </w:r>
          </w:p>
        </w:tc>
      </w:tr>
      <w:tr w:rsidR="003614F9" w14:paraId="1AB7CED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E110D77" w14:textId="77777777" w:rsidR="003614F9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F3E7913" w14:textId="77777777" w:rsidR="003614F9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18877244" w14:textId="77777777" w:rsidR="003614F9" w:rsidRDefault="00000000">
      <w:r>
        <w:br/>
      </w:r>
    </w:p>
    <w:p w14:paraId="1F3751DA" w14:textId="77777777" w:rsidR="003614F9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84BE60C" w14:textId="77777777" w:rsidR="003614F9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2C529A3" w14:textId="77777777" w:rsidR="003614F9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0DB0C6F" w14:textId="77777777" w:rsidR="003614F9" w:rsidRDefault="003614F9"/>
    <w:p w14:paraId="4E78DD56" w14:textId="77777777" w:rsidR="003614F9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DD00303" w14:textId="77777777" w:rsidR="003614F9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614F9" w14:paraId="08F1D7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104A9B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0ADED9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13E9B3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F9485E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5A2BB6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4BCC85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614F9" w14:paraId="48A80D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DC3A73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BB1316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D80D82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8AF7E4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96.719,20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549A20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105.936,77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A9B596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109,5</w:t>
            </w:r>
          </w:p>
        </w:tc>
      </w:tr>
      <w:tr w:rsidR="003614F9" w14:paraId="7C00F7B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2A9C5A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BD1A6F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AC0A56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15624D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72.847,55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6914BE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81.142,16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4D7EAA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111,4</w:t>
            </w:r>
          </w:p>
        </w:tc>
      </w:tr>
      <w:tr w:rsidR="003614F9" w14:paraId="0508DF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2CA5B6" w14:textId="77777777" w:rsidR="003614F9" w:rsidRDefault="003614F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DE1CCB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03843E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F518F6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23.871,65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CB786C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24.794,61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D7A604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103,9</w:t>
            </w:r>
          </w:p>
        </w:tc>
      </w:tr>
      <w:tr w:rsidR="003614F9" w14:paraId="0A69A83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615893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8FE65A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84FA90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8D477E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FC9D2B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263FC8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614F9" w14:paraId="044A924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67D1B4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E499F1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F28B30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D2AC11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24.225,11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1FFD24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25.329,89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3F1661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104,6</w:t>
            </w:r>
          </w:p>
        </w:tc>
      </w:tr>
      <w:tr w:rsidR="003614F9" w14:paraId="7ACCD49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DB98F9" w14:textId="77777777" w:rsidR="003614F9" w:rsidRDefault="003614F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884BBD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CE9635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655589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24.225,11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8F19FF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25.329,89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E53270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104,6</w:t>
            </w:r>
          </w:p>
        </w:tc>
      </w:tr>
      <w:tr w:rsidR="003614F9" w14:paraId="3DC416F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059AC0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0E7A36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7347E1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99498B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A74C49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2670D9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614F9" w14:paraId="59586F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B2BFCE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74F7C9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52AB77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88DF15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E2DCDB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3F8831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614F9" w14:paraId="03D93C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CCC228" w14:textId="77777777" w:rsidR="003614F9" w:rsidRDefault="003614F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41476E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5E2B10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A6F86D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9551EC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74D342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614F9" w14:paraId="7995A28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F8BCEB" w14:textId="77777777" w:rsidR="003614F9" w:rsidRDefault="003614F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744C93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AA8F00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3CC68B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353,46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99B0A5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535,28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1A5E04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151,4</w:t>
            </w:r>
          </w:p>
        </w:tc>
      </w:tr>
    </w:tbl>
    <w:p w14:paraId="7C883402" w14:textId="77777777" w:rsidR="003614F9" w:rsidRDefault="003614F9">
      <w:pPr>
        <w:spacing w:after="0"/>
      </w:pPr>
    </w:p>
    <w:p w14:paraId="10402864" w14:textId="77777777" w:rsidR="003614F9" w:rsidRDefault="00000000">
      <w:r>
        <w:t>U izvještajnom razdoblju ostvaren je Višak prihoda poslovanja iznos od 24.794,61  eura, te  Manjak prihoda od nefinancijske imovine u iznosu 25.329,89  eura, te je ukupan rezultat Manjka prihoda i primitaka  u iznosu od 535,286 eura.</w:t>
      </w:r>
    </w:p>
    <w:p w14:paraId="085A3AF4" w14:textId="77777777" w:rsidR="003614F9" w:rsidRDefault="00000000">
      <w:r>
        <w:t>Nakon prebijanja viškova i manjkova po istovrsnim kategorijama te provedene korekcije rezultata za kapitalne prijenose, ostvaren je Višak prihoda poslovanja u iznosu od 3.143,86 eura,  te manjak prihoda od nefinancijske imovine u iznosu od 2.004,31 iz vlastitih sredstava.</w:t>
      </w:r>
    </w:p>
    <w:p w14:paraId="08946614" w14:textId="77777777" w:rsidR="003614F9" w:rsidRDefault="00000000">
      <w:r>
        <w:lastRenderedPageBreak/>
        <w:br/>
      </w:r>
    </w:p>
    <w:p w14:paraId="401CD306" w14:textId="77777777" w:rsidR="003614F9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614F9" w14:paraId="41FDDA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D86B24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931561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A7E0C8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6761DA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21B227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BC405C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614F9" w14:paraId="33ED16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A5A2CA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62FCD1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89CB2B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442A61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17.747,83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1AAB72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19.260,00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3016F2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108,5</w:t>
            </w:r>
          </w:p>
        </w:tc>
      </w:tr>
    </w:tbl>
    <w:p w14:paraId="297CB63A" w14:textId="77777777" w:rsidR="003614F9" w:rsidRDefault="003614F9">
      <w:pPr>
        <w:spacing w:after="0"/>
      </w:pPr>
    </w:p>
    <w:p w14:paraId="3067A264" w14:textId="77777777" w:rsidR="003614F9" w:rsidRDefault="00000000">
      <w:r>
        <w:t>Pomoći proračunu iz drugih proračuna u razdoblju od  1. siječnja do 31. prosinca ostvareni su u iznosu od 19.260,00 eura, odnosno 8,50 % više u odnosu na izvještajno razdoblje prethodne godine - sredstva su iz državnog proračuna za nabavu knjižnične građe sadrže redovita sredstava za nabavu knjižnične građe kao i za otkup knjiga.</w:t>
      </w:r>
    </w:p>
    <w:p w14:paraId="12CDAF92" w14:textId="77777777" w:rsidR="003614F9" w:rsidRDefault="003614F9"/>
    <w:p w14:paraId="77D53453" w14:textId="77777777" w:rsidR="003614F9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614F9" w14:paraId="05EDE8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454E83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E1C2E6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FE93B9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75F375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09926B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42CE38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614F9" w14:paraId="316FDB2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FA6C47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1888A1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3E621A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466294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1.988,78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408728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3.822,45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8DD6A2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192,2</w:t>
            </w:r>
          </w:p>
        </w:tc>
      </w:tr>
    </w:tbl>
    <w:p w14:paraId="2B37E40D" w14:textId="77777777" w:rsidR="003614F9" w:rsidRDefault="003614F9">
      <w:pPr>
        <w:spacing w:after="0"/>
      </w:pPr>
    </w:p>
    <w:p w14:paraId="1A34A1FD" w14:textId="77777777" w:rsidR="003614F9" w:rsidRDefault="00000000">
      <w:r>
        <w:t>Ostali nespomenuti prihodi - Prihodi su od troškova iznajmljenog prostora ovisni  o visini  režija koje su prefakturane za prostor koji koristi Općinski sud.</w:t>
      </w:r>
    </w:p>
    <w:p w14:paraId="70372386" w14:textId="77777777" w:rsidR="003614F9" w:rsidRDefault="003614F9"/>
    <w:p w14:paraId="0E5AC9DD" w14:textId="77777777" w:rsidR="003614F9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614F9" w14:paraId="44A668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FED244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D55046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75518A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C5F93E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F79EC2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924D25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614F9" w14:paraId="1CA3F1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F17104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898131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2E0D5D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C39D73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4.075,55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7C1780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2.994,99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9E515B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73,5</w:t>
            </w:r>
          </w:p>
        </w:tc>
      </w:tr>
    </w:tbl>
    <w:p w14:paraId="586D816C" w14:textId="77777777" w:rsidR="003614F9" w:rsidRDefault="003614F9">
      <w:pPr>
        <w:spacing w:after="0"/>
      </w:pPr>
    </w:p>
    <w:p w14:paraId="7C0AF3A2" w14:textId="77777777" w:rsidR="003614F9" w:rsidRDefault="00000000">
      <w:r>
        <w:t>Prihodi od pruženih usluga prihodi su od članarina  i prodaje otpisanih knjiga, protekle godine bili su veći iz razloga što je nakon revizije bilo više knjiga za prodaju</w:t>
      </w:r>
    </w:p>
    <w:p w14:paraId="4B31812A" w14:textId="77777777" w:rsidR="003614F9" w:rsidRDefault="003614F9"/>
    <w:p w14:paraId="45351714" w14:textId="77777777" w:rsidR="003614F9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614F9" w14:paraId="099432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C3268B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AA78E3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EC86DE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FEA36D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D06FF4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63B7F0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614F9" w14:paraId="4F8D49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72858B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79D7FF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603BD0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E35CCD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6BEDD4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8FB130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A52C68D" w14:textId="77777777" w:rsidR="003614F9" w:rsidRDefault="003614F9">
      <w:pPr>
        <w:spacing w:after="0"/>
      </w:pPr>
    </w:p>
    <w:p w14:paraId="549808D5" w14:textId="77777777" w:rsidR="003614F9" w:rsidRDefault="00000000">
      <w:r>
        <w:t>Kapitalne donacije prihodi su od donacije knjiga.</w:t>
      </w:r>
    </w:p>
    <w:p w14:paraId="6797A5B9" w14:textId="77777777" w:rsidR="003614F9" w:rsidRDefault="003614F9"/>
    <w:p w14:paraId="3FBD9BF3" w14:textId="77777777" w:rsidR="003614F9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614F9" w14:paraId="0E1081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1488C6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D0096A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062085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1A4F47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604324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FC8894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614F9" w14:paraId="057E8D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3420D9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DCFD19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E680E0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EACE38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72.907,04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F600B4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79.777,84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85C25E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109,4</w:t>
            </w:r>
          </w:p>
        </w:tc>
      </w:tr>
    </w:tbl>
    <w:p w14:paraId="62FBE3DF" w14:textId="77777777" w:rsidR="003614F9" w:rsidRDefault="003614F9">
      <w:pPr>
        <w:spacing w:after="0"/>
      </w:pPr>
    </w:p>
    <w:p w14:paraId="7461D5FF" w14:textId="77777777" w:rsidR="003614F9" w:rsidRDefault="00000000">
      <w:r>
        <w:t>Prihodi iz nadležnog proračuna u razdoblju od 1. siječnja do 31. prosinca ostvareni su u iznosu od 79.777,84 eura, odnosno 9,40 % više u odnosu na izvještajno razdoblje prethodne godine, povećani su prihodi za financiranje redovne djelatnosti radi povećanja osnovice za plaću, dok su prihodi za financiranje rashoda za nabavu nefinancijske imovine – knjiga smanjeni.</w:t>
      </w:r>
    </w:p>
    <w:p w14:paraId="685B9EBB" w14:textId="77777777" w:rsidR="003614F9" w:rsidRDefault="003614F9"/>
    <w:p w14:paraId="1DE558F5" w14:textId="77777777" w:rsidR="003614F9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614F9" w14:paraId="2B781B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926D80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7F6758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AC7C61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2C64D1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2455A9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F6DC8F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614F9" w14:paraId="2E0731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B8C879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EFAC58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B34C0B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78EB95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2.080,00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F29133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B9127E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175,5</w:t>
            </w:r>
          </w:p>
        </w:tc>
      </w:tr>
    </w:tbl>
    <w:p w14:paraId="650CABFA" w14:textId="77777777" w:rsidR="003614F9" w:rsidRDefault="003614F9">
      <w:pPr>
        <w:spacing w:after="0"/>
      </w:pPr>
    </w:p>
    <w:p w14:paraId="322E811E" w14:textId="77777777" w:rsidR="003614F9" w:rsidRDefault="00000000">
      <w:r>
        <w:t>Ostali rashodi za zaposlene u razdoblju od 1. siječnja do 31. prosinca ostvareni su u iznosu od 3.650,00 eura, odnosno 75,5 % više u odnosu na izvještajno razdoblje prethodne godine,  razlog povećanja je  početak isplate novčane paušalne naknade za podmirivanje troškova prehrane.</w:t>
      </w:r>
    </w:p>
    <w:p w14:paraId="3D1C39EF" w14:textId="77777777" w:rsidR="003614F9" w:rsidRDefault="003614F9"/>
    <w:p w14:paraId="7EE75E16" w14:textId="77777777" w:rsidR="003614F9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614F9" w14:paraId="58934F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117126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2E7BB8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4D3589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0B8DA0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45308F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649420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614F9" w14:paraId="3DF382B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621886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538208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B02CF8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BA0B8B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1.267,62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59D173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204,81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C50F94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16,2</w:t>
            </w:r>
          </w:p>
        </w:tc>
      </w:tr>
    </w:tbl>
    <w:p w14:paraId="41E9D003" w14:textId="77777777" w:rsidR="003614F9" w:rsidRDefault="003614F9">
      <w:pPr>
        <w:spacing w:after="0"/>
      </w:pPr>
    </w:p>
    <w:p w14:paraId="41DDEBC4" w14:textId="77777777" w:rsidR="003614F9" w:rsidRDefault="00000000">
      <w:r>
        <w:t>Naknade za prijevoz ostvarene su u iznosu 83,80 % manje u odnosu na izvještajno razdoblje prethodne godine,  razlog smanjenja je što od travnja nemamo taj trošak.</w:t>
      </w:r>
    </w:p>
    <w:p w14:paraId="79AA8E86" w14:textId="77777777" w:rsidR="003614F9" w:rsidRDefault="003614F9"/>
    <w:p w14:paraId="1F2AA018" w14:textId="77777777" w:rsidR="003614F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614F9" w14:paraId="786F82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4C8479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82E1F0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226EB5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FDEA47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115512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F984FB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614F9" w14:paraId="786CCB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E1CEE3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CAD2E0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08B13E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847782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5.260,12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E983DA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5.824,85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7422ED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110,7</w:t>
            </w:r>
          </w:p>
        </w:tc>
      </w:tr>
    </w:tbl>
    <w:p w14:paraId="00B64309" w14:textId="77777777" w:rsidR="003614F9" w:rsidRDefault="003614F9">
      <w:pPr>
        <w:spacing w:after="0"/>
      </w:pPr>
    </w:p>
    <w:p w14:paraId="6B36623F" w14:textId="77777777" w:rsidR="003614F9" w:rsidRDefault="00000000">
      <w:r>
        <w:t>Rashodi za energiju u razdoblju u izvještajnom razdoblju ostvareni su u iznosu od 5.824,85 eura, odnosno 10,7 % više u odnosu na izvještajno razdoblje prethodne godine,  razlog povećanja je  jača zima i duži period grijanja.</w:t>
      </w:r>
    </w:p>
    <w:p w14:paraId="2063EAA6" w14:textId="77777777" w:rsidR="003614F9" w:rsidRDefault="003614F9"/>
    <w:p w14:paraId="342DA691" w14:textId="77777777" w:rsidR="003614F9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614F9" w14:paraId="4C9D7D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5BCE5C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8766B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B395ED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8B81A2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F90A35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094B60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614F9" w14:paraId="3B10AF7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E7C9EB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3A21D2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30733E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C1F854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1.411,65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606A16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3.645,80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D290FB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258,3</w:t>
            </w:r>
          </w:p>
        </w:tc>
      </w:tr>
    </w:tbl>
    <w:p w14:paraId="0A296B77" w14:textId="77777777" w:rsidR="003614F9" w:rsidRDefault="003614F9">
      <w:pPr>
        <w:spacing w:after="0"/>
      </w:pPr>
    </w:p>
    <w:p w14:paraId="720C5CEA" w14:textId="77777777" w:rsidR="003614F9" w:rsidRDefault="00000000">
      <w:r>
        <w:t>Usluge tekućeg i investicijskog održavanja u izvještajnom razdoblju ostvarene su u iznosu od 3.645,80 eura, odnosno 258,3% više u odnosu na izvještajno razdoblje prethodne godine, popravci su krova, stropa i zidova nakon olujnog nevremena, servis vatrogasnih aparata.</w:t>
      </w:r>
    </w:p>
    <w:p w14:paraId="5F556F0C" w14:textId="77777777" w:rsidR="003614F9" w:rsidRDefault="003614F9"/>
    <w:p w14:paraId="6B920AE1" w14:textId="77777777" w:rsidR="003614F9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614F9" w14:paraId="40904B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B84CAD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627B44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1FA131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77A533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096B8C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6FA16A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614F9" w14:paraId="2BE619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A3DE17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8C249E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65C2CD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EF00A0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364,98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F7BEE9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63C0BE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180,8</w:t>
            </w:r>
          </w:p>
        </w:tc>
      </w:tr>
    </w:tbl>
    <w:p w14:paraId="356E4E73" w14:textId="77777777" w:rsidR="003614F9" w:rsidRDefault="003614F9">
      <w:pPr>
        <w:spacing w:after="0"/>
      </w:pPr>
    </w:p>
    <w:p w14:paraId="63C455A9" w14:textId="77777777" w:rsidR="003614F9" w:rsidRDefault="00000000">
      <w:r>
        <w:t>Računalne usluge u izvještajnom razdoblju ostvarena je u iznosu od 660,00 eura, odnosno 80,8 % više u odnosu na izvještajno razdoblje prethodne godine,  pored održavanja knjižničnog programa, sadrže instaliranja e- porezne i ostalih usluga na novi stik dolaskom nove v.d. ravnateljice.</w:t>
      </w:r>
    </w:p>
    <w:p w14:paraId="7E1723F6" w14:textId="77777777" w:rsidR="003614F9" w:rsidRDefault="003614F9"/>
    <w:p w14:paraId="58CB7FF7" w14:textId="77777777" w:rsidR="003614F9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614F9" w14:paraId="7EA889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F8FA47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A63D94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950AB0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C7FD6B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51D8E5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FAC01B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614F9" w14:paraId="703498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ABF3BC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B23981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54EB46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D29501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547,58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AB0029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893,27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31F299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163,1</w:t>
            </w:r>
          </w:p>
        </w:tc>
      </w:tr>
    </w:tbl>
    <w:p w14:paraId="2CDB5833" w14:textId="77777777" w:rsidR="003614F9" w:rsidRDefault="003614F9">
      <w:pPr>
        <w:spacing w:after="0"/>
      </w:pPr>
    </w:p>
    <w:p w14:paraId="75D3547F" w14:textId="77777777" w:rsidR="003614F9" w:rsidRDefault="00000000">
      <w:r>
        <w:lastRenderedPageBreak/>
        <w:t>Ostale usluge u izvještajnom razdoblju ostvarena je u iznosu od 893,27 eura, odnosno 63,1 % više u odnosu na izvještajno razdoblje prethodne godine,  osim usluga zaštite na radu sadrže i osposobljavanje radnika za rad na siguran način.</w:t>
      </w:r>
    </w:p>
    <w:p w14:paraId="475D8047" w14:textId="77777777" w:rsidR="003614F9" w:rsidRDefault="003614F9"/>
    <w:p w14:paraId="690EEC3F" w14:textId="77777777" w:rsidR="003614F9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614F9" w14:paraId="5BDC1B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8A1F86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E8546F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FC10CC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1D4039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358393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05996F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614F9" w14:paraId="4DBFC6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06B8EF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F18249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202613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6194F9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1.370,11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9CE7C7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2.141,17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749689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156,3</w:t>
            </w:r>
          </w:p>
        </w:tc>
      </w:tr>
    </w:tbl>
    <w:p w14:paraId="511E0172" w14:textId="77777777" w:rsidR="003614F9" w:rsidRDefault="003614F9">
      <w:pPr>
        <w:spacing w:after="0"/>
      </w:pPr>
    </w:p>
    <w:p w14:paraId="072A54A6" w14:textId="77777777" w:rsidR="003614F9" w:rsidRDefault="00000000">
      <w:r>
        <w:t>Premije osiguranja u izvještajnom razdoblju ostvarena je u iznosu od 2.141,17 eura, odnosno 56,3 % više u odnosu na izvještajno razdoblje prethodne godine,  proširili smo policu osiguranja.</w:t>
      </w:r>
    </w:p>
    <w:p w14:paraId="7DFE1CCC" w14:textId="77777777" w:rsidR="003614F9" w:rsidRDefault="003614F9"/>
    <w:p w14:paraId="18A3BCAA" w14:textId="77777777" w:rsidR="003614F9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614F9" w14:paraId="436248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8997A7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8BCFF7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B5F897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0EAC19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ECFCA4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A51D4F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614F9" w14:paraId="025B91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87FAD0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ADC03F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B5240D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34E79B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A5F9D3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274,58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6E0FA8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206,5</w:t>
            </w:r>
          </w:p>
        </w:tc>
      </w:tr>
    </w:tbl>
    <w:p w14:paraId="0DE8A919" w14:textId="77777777" w:rsidR="003614F9" w:rsidRDefault="003614F9">
      <w:pPr>
        <w:spacing w:after="0"/>
      </w:pPr>
    </w:p>
    <w:p w14:paraId="31ABEB44" w14:textId="77777777" w:rsidR="003614F9" w:rsidRDefault="00000000">
      <w:r>
        <w:t>Reprezentacija u izvještajnom razdoblju ostvarena je u iznosu od 274,58 eura, odnosno 106,5 % više u odnosu na izvještajno razdoblje prethodne godine,  to su troškovi naših aktivnosti predstavljanja knjiga.</w:t>
      </w:r>
    </w:p>
    <w:p w14:paraId="2B6D6F9D" w14:textId="77777777" w:rsidR="003614F9" w:rsidRDefault="003614F9"/>
    <w:p w14:paraId="205FA0B2" w14:textId="77777777" w:rsidR="003614F9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614F9" w14:paraId="4A9F22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A48B28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7B43BD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E28B11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FDEA1C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0B1354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F17194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614F9" w14:paraId="7278FA2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FA180E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79AF58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48B024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9A2195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07160F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651,99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E641D9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62249BF" w14:textId="77777777" w:rsidR="003614F9" w:rsidRDefault="003614F9">
      <w:pPr>
        <w:spacing w:after="0"/>
      </w:pPr>
    </w:p>
    <w:p w14:paraId="0C73DD43" w14:textId="77777777" w:rsidR="003614F9" w:rsidRDefault="00000000">
      <w:r>
        <w:t>Uredska oprema i namještaj u izvještajnom razdoblju ostvarena su u iznosu od 651,99 eura, nabavljene su uredske stolice.</w:t>
      </w:r>
    </w:p>
    <w:p w14:paraId="53FC01A5" w14:textId="77777777" w:rsidR="003614F9" w:rsidRDefault="003614F9"/>
    <w:p w14:paraId="05D7FA86" w14:textId="77777777" w:rsidR="003614F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614F9" w14:paraId="01EA75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B2A984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1E07B0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19E9DE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2DB7F2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F6B800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FD9FDC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614F9" w14:paraId="63C77B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B6A3ED" w14:textId="77777777" w:rsidR="003614F9" w:rsidRDefault="003614F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BB7C23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962EAC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893BF3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353,46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CDAD58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535,28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800187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151,4</w:t>
            </w:r>
          </w:p>
        </w:tc>
      </w:tr>
    </w:tbl>
    <w:p w14:paraId="76E9EB71" w14:textId="77777777" w:rsidR="003614F9" w:rsidRDefault="003614F9">
      <w:pPr>
        <w:spacing w:after="0"/>
      </w:pPr>
    </w:p>
    <w:p w14:paraId="06FA3EAC" w14:textId="77777777" w:rsidR="003614F9" w:rsidRDefault="00000000">
      <w:r>
        <w:t>U izvještajnom razdoblju ostvaren je Višak prihoda poslovanja iznos od 24.794,61  eura, te  Manjak prihoda od nefinancijske imovine u iznosu 25.329,89  eura, te je ukupan rezultat Manjka prihoda i primitaka  u iznosu od 535,286 eura.</w:t>
      </w:r>
    </w:p>
    <w:p w14:paraId="49430042" w14:textId="77777777" w:rsidR="003614F9" w:rsidRDefault="003614F9"/>
    <w:p w14:paraId="2A6DD186" w14:textId="77777777" w:rsidR="003614F9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520BCA96" w14:textId="77777777" w:rsidR="003614F9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614F9" w14:paraId="7796FB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67AC38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469E03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289F5F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76E7E3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AACA5B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21C533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614F9" w14:paraId="33585B7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3E7CF6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4CD0B1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EF02B8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4846AD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CC4207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0DBEAB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141,4</w:t>
            </w:r>
          </w:p>
        </w:tc>
      </w:tr>
    </w:tbl>
    <w:p w14:paraId="5FB9F105" w14:textId="77777777" w:rsidR="003614F9" w:rsidRDefault="003614F9">
      <w:pPr>
        <w:spacing w:after="0"/>
      </w:pPr>
    </w:p>
    <w:p w14:paraId="7B603244" w14:textId="77777777" w:rsidR="003614F9" w:rsidRDefault="00000000">
      <w:r>
        <w:t>Ostala potraživanja je porez na nekretnine za koji smo dobili Rješenje radi pogrešne adrese. Uložili smo žalbu koja je odobrena, te je izvršen povrat u siječnju 2026. godine.</w:t>
      </w:r>
    </w:p>
    <w:p w14:paraId="347558A9" w14:textId="77777777" w:rsidR="003614F9" w:rsidRDefault="003614F9"/>
    <w:p w14:paraId="14D70BE9" w14:textId="77777777" w:rsidR="003614F9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614F9" w14:paraId="01A7D9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F0AC2F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0A45F0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29F13C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187DF6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A52741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DF96C5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614F9" w14:paraId="340BBE6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44B7B3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4801A8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744EC8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FF0817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1.674,84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E629BE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1.139,56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DC35E0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68,0</w:t>
            </w:r>
          </w:p>
        </w:tc>
      </w:tr>
    </w:tbl>
    <w:p w14:paraId="41950C60" w14:textId="77777777" w:rsidR="003614F9" w:rsidRDefault="003614F9">
      <w:pPr>
        <w:spacing w:after="0"/>
      </w:pPr>
    </w:p>
    <w:p w14:paraId="0E08A23C" w14:textId="77777777" w:rsidR="003614F9" w:rsidRDefault="00000000">
      <w:r>
        <w:t>Višak/manjak prihoda po aktivnostima i izvorima financiranja na dan 31.12.2025.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21"/>
        <w:gridCol w:w="1469"/>
        <w:gridCol w:w="3216"/>
        <w:gridCol w:w="3156"/>
      </w:tblGrid>
      <w:tr w:rsidR="003614F9" w14:paraId="5997CB69" w14:textId="77777777">
        <w:tc>
          <w:tcPr>
            <w:tcW w:w="1251" w:type="pct"/>
            <w:vAlign w:val="center"/>
          </w:tcPr>
          <w:p w14:paraId="7C4485B9" w14:textId="77777777" w:rsidR="003614F9" w:rsidRDefault="00000000">
            <w:r>
              <w:t> IF</w:t>
            </w:r>
          </w:p>
        </w:tc>
        <w:tc>
          <w:tcPr>
            <w:tcW w:w="1251" w:type="pct"/>
            <w:vAlign w:val="center"/>
          </w:tcPr>
          <w:p w14:paraId="6BCB17AB" w14:textId="77777777" w:rsidR="003614F9" w:rsidRDefault="00000000">
            <w:r>
              <w:t>Izvor financiranja</w:t>
            </w:r>
          </w:p>
        </w:tc>
        <w:tc>
          <w:tcPr>
            <w:tcW w:w="1251" w:type="pct"/>
            <w:vAlign w:val="center"/>
          </w:tcPr>
          <w:p w14:paraId="6957F8EC" w14:textId="77777777" w:rsidR="003614F9" w:rsidRDefault="00000000">
            <w:r>
              <w:t>92211 Višak prihoda poslovanja</w:t>
            </w:r>
          </w:p>
        </w:tc>
        <w:tc>
          <w:tcPr>
            <w:tcW w:w="1251" w:type="pct"/>
            <w:vAlign w:val="center"/>
          </w:tcPr>
          <w:p w14:paraId="6EF57509" w14:textId="77777777" w:rsidR="003614F9" w:rsidRDefault="00000000">
            <w:r>
              <w:t>92222Manjak prihoda od nefinancijske imovine</w:t>
            </w:r>
          </w:p>
        </w:tc>
      </w:tr>
      <w:tr w:rsidR="003614F9" w14:paraId="3F973991" w14:textId="77777777">
        <w:tc>
          <w:tcPr>
            <w:tcW w:w="1251" w:type="pct"/>
            <w:vAlign w:val="center"/>
          </w:tcPr>
          <w:p w14:paraId="2F635FC6" w14:textId="77777777" w:rsidR="003614F9" w:rsidRDefault="00000000">
            <w:r>
              <w:t>311</w:t>
            </w:r>
          </w:p>
        </w:tc>
        <w:tc>
          <w:tcPr>
            <w:tcW w:w="1251" w:type="pct"/>
            <w:vAlign w:val="center"/>
          </w:tcPr>
          <w:p w14:paraId="125E0699" w14:textId="77777777" w:rsidR="003614F9" w:rsidRDefault="00000000">
            <w:r>
              <w:t>Vlastiti prihodi</w:t>
            </w:r>
          </w:p>
        </w:tc>
        <w:tc>
          <w:tcPr>
            <w:tcW w:w="1251" w:type="pct"/>
            <w:vAlign w:val="center"/>
          </w:tcPr>
          <w:p w14:paraId="3C2FE2FD" w14:textId="77777777" w:rsidR="003614F9" w:rsidRDefault="00000000">
            <w:r>
              <w:t>                                    3.143,87</w:t>
            </w:r>
          </w:p>
        </w:tc>
        <w:tc>
          <w:tcPr>
            <w:tcW w:w="1251" w:type="pct"/>
            <w:vAlign w:val="center"/>
          </w:tcPr>
          <w:p w14:paraId="1423E1B9" w14:textId="77777777" w:rsidR="003614F9" w:rsidRDefault="00000000">
            <w:r>
              <w:t>                                   2.004,31</w:t>
            </w:r>
          </w:p>
        </w:tc>
      </w:tr>
      <w:tr w:rsidR="003614F9" w14:paraId="778B7841" w14:textId="77777777">
        <w:tc>
          <w:tcPr>
            <w:tcW w:w="1251" w:type="pct"/>
            <w:vAlign w:val="center"/>
          </w:tcPr>
          <w:p w14:paraId="278854D5" w14:textId="77777777" w:rsidR="003614F9" w:rsidRDefault="00000000">
            <w:r>
              <w:t> </w:t>
            </w:r>
          </w:p>
        </w:tc>
        <w:tc>
          <w:tcPr>
            <w:tcW w:w="1251" w:type="pct"/>
            <w:vAlign w:val="center"/>
          </w:tcPr>
          <w:p w14:paraId="342B2B19" w14:textId="77777777" w:rsidR="003614F9" w:rsidRDefault="00000000">
            <w:r>
              <w:t>Ukupan rezultat po kategorijama</w:t>
            </w:r>
          </w:p>
        </w:tc>
        <w:tc>
          <w:tcPr>
            <w:tcW w:w="1251" w:type="pct"/>
            <w:vAlign w:val="center"/>
          </w:tcPr>
          <w:p w14:paraId="77212F00" w14:textId="77777777" w:rsidR="003614F9" w:rsidRDefault="00000000">
            <w:r>
              <w:t>                                    3.143,87</w:t>
            </w:r>
          </w:p>
        </w:tc>
        <w:tc>
          <w:tcPr>
            <w:tcW w:w="1251" w:type="pct"/>
            <w:vAlign w:val="center"/>
          </w:tcPr>
          <w:p w14:paraId="4F1519CC" w14:textId="77777777" w:rsidR="003614F9" w:rsidRDefault="00000000">
            <w:r>
              <w:t>                                   2.004,31</w:t>
            </w:r>
          </w:p>
        </w:tc>
      </w:tr>
      <w:tr w:rsidR="003614F9" w14:paraId="0CA1193B" w14:textId="77777777">
        <w:tc>
          <w:tcPr>
            <w:tcW w:w="1251" w:type="pct"/>
            <w:vAlign w:val="center"/>
          </w:tcPr>
          <w:p w14:paraId="3C914AF4" w14:textId="77777777" w:rsidR="003614F9" w:rsidRDefault="00000000">
            <w:r>
              <w:t> </w:t>
            </w:r>
          </w:p>
        </w:tc>
        <w:tc>
          <w:tcPr>
            <w:tcW w:w="1251" w:type="pct"/>
            <w:vAlign w:val="center"/>
          </w:tcPr>
          <w:p w14:paraId="2CF53780" w14:textId="77777777" w:rsidR="003614F9" w:rsidRDefault="00000000">
            <w:r>
              <w:t>Ukupan rezultat  na 922</w:t>
            </w:r>
          </w:p>
        </w:tc>
        <w:tc>
          <w:tcPr>
            <w:tcW w:w="1251" w:type="pct"/>
            <w:vAlign w:val="center"/>
          </w:tcPr>
          <w:p w14:paraId="565F0091" w14:textId="77777777" w:rsidR="003614F9" w:rsidRDefault="00000000">
            <w:r>
              <w:t> </w:t>
            </w:r>
          </w:p>
        </w:tc>
        <w:tc>
          <w:tcPr>
            <w:tcW w:w="1251" w:type="pct"/>
            <w:vAlign w:val="center"/>
          </w:tcPr>
          <w:p w14:paraId="15A59711" w14:textId="77777777" w:rsidR="003614F9" w:rsidRDefault="00000000">
            <w:r>
              <w:t>                                   1.139,56</w:t>
            </w:r>
          </w:p>
        </w:tc>
      </w:tr>
    </w:tbl>
    <w:p w14:paraId="1B51ACCD" w14:textId="77777777" w:rsidR="003614F9" w:rsidRDefault="00000000">
      <w:r>
        <w:t>Nakon prebijanja viškova i manjkova po istovrsnim kategorijama te provedene korekcije rezultata za kapitalne prijenose, ostvaren je Višak prihoda poslovanja u iznosu od 3.143,86 eura,  te manjak prihoda od nefinancijske imovine u iznosu od 2.004,31 iz vlastitih sredstava.</w:t>
      </w:r>
    </w:p>
    <w:p w14:paraId="275EE913" w14:textId="77777777" w:rsidR="003614F9" w:rsidRDefault="003614F9"/>
    <w:p w14:paraId="7F204501" w14:textId="77777777" w:rsidR="003614F9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14:paraId="14044608" w14:textId="77777777" w:rsidR="003614F9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614F9" w14:paraId="5849C7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FF4E64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6F0F9F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B71092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03784B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2ACB7C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CD1FCE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614F9" w14:paraId="4DE2CC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7567AA" w14:textId="77777777" w:rsidR="003614F9" w:rsidRDefault="003614F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169E61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nefinancijske imovine (šifre P002 do P007)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C6BCDD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484B04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72C579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24.528,29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0E97CF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0D682FA" w14:textId="77777777" w:rsidR="003614F9" w:rsidRDefault="003614F9">
      <w:pPr>
        <w:spacing w:after="0"/>
      </w:pPr>
    </w:p>
    <w:p w14:paraId="106B6965" w14:textId="77777777" w:rsidR="003614F9" w:rsidRDefault="00000000">
      <w:r>
        <w:t>Promjene u vrijednosti nefinancijske imovine je ispravak vrijednosti proizvedene dugotrajne imovine i otpis dotrajale, uništene, zastarjele i prekobrojne knjižnične građe.</w:t>
      </w:r>
    </w:p>
    <w:p w14:paraId="03B7007E" w14:textId="77777777" w:rsidR="003614F9" w:rsidRDefault="003614F9"/>
    <w:p w14:paraId="1E9A891D" w14:textId="77777777" w:rsidR="003614F9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98ADEE0" w14:textId="77777777" w:rsidR="003614F9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3614F9" w14:paraId="70C1BE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94F9D6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416501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CC9E2B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DCCA6A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4E0279" w14:textId="77777777" w:rsidR="003614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614F9" w14:paraId="7A0FB1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A7366D" w14:textId="77777777" w:rsidR="003614F9" w:rsidRDefault="003614F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DFCFFC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3ACEF7" w14:textId="77777777" w:rsidR="003614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229A18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7E65AE" w14:textId="77777777" w:rsidR="003614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7204883" w14:textId="77777777" w:rsidR="003614F9" w:rsidRDefault="003614F9">
      <w:pPr>
        <w:spacing w:after="0"/>
      </w:pPr>
    </w:p>
    <w:p w14:paraId="3C8A9D6F" w14:textId="77777777" w:rsidR="003614F9" w:rsidRDefault="00000000">
      <w:r>
        <w:t>Stanje dospjelih obveza na kraju izvještajnog razdoblja je račun telekoma koji greškom nije skinut s e-računa na vrijeme.</w:t>
      </w:r>
    </w:p>
    <w:p w14:paraId="2CC68EFB" w14:textId="77777777" w:rsidR="003614F9" w:rsidRDefault="003614F9"/>
    <w:sectPr w:rsidR="00361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4F9"/>
    <w:rsid w:val="00226EFB"/>
    <w:rsid w:val="003614F9"/>
    <w:rsid w:val="00B24124"/>
    <w:rsid w:val="00E8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92154"/>
  <w15:docId w15:val="{9FE5E82A-0429-4EB3-A97A-CA416096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1567</Words>
  <Characters>8933</Characters>
  <Application>Microsoft Office Word</Application>
  <DocSecurity>0</DocSecurity>
  <Lines>74</Lines>
  <Paragraphs>20</Paragraphs>
  <ScaleCrop>false</ScaleCrop>
  <Company/>
  <LinksUpToDate>false</LinksUpToDate>
  <CharactersWithSpaces>10480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 Remenar</dc:creator>
  <cp:lastModifiedBy>Anka Remenar</cp:lastModifiedBy>
  <cp:revision>2</cp:revision>
  <cp:lastPrinted>2026-01-28T10:50:00Z</cp:lastPrinted>
  <dcterms:created xsi:type="dcterms:W3CDTF">2026-01-28T10:51:00Z</dcterms:created>
  <dcterms:modified xsi:type="dcterms:W3CDTF">2026-01-28T10:51:00Z</dcterms:modified>
</cp:coreProperties>
</file>